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0" w:firstLineChars="0"/>
        <w:textAlignment w:val="auto"/>
        <w:outlineLvl w:val="9"/>
        <w:rPr>
          <w:rFonts w:hint="eastAsia" w:ascii="黑体" w:hAnsi="黑体" w:eastAsia="黑体" w:cs="黑体"/>
          <w:sz w:val="32"/>
          <w:szCs w:val="32"/>
        </w:rPr>
      </w:pPr>
      <w:r>
        <w:rPr>
          <w:rFonts w:hint="eastAsia" w:ascii="黑体" w:hAnsi="黑体" w:eastAsia="黑体" w:cs="黑体"/>
          <w:sz w:val="32"/>
          <w:szCs w:val="32"/>
        </w:rPr>
        <w:t>附件</w:t>
      </w:r>
    </w:p>
    <w:p>
      <w:pPr>
        <w:spacing w:line="520" w:lineRule="exact"/>
        <w:rPr>
          <w:rFonts w:ascii="Times New Roman" w:hAnsi="Times New Roman" w:eastAsia="方正仿宋_GBK" w:cs="Times New Roman"/>
          <w:sz w:val="30"/>
          <w:szCs w:val="30"/>
        </w:rPr>
      </w:pPr>
    </w:p>
    <w:p>
      <w:pPr>
        <w:keepNext w:val="0"/>
        <w:keepLines w:val="0"/>
        <w:pageBreakBefore w:val="0"/>
        <w:widowControl w:val="0"/>
        <w:kinsoku/>
        <w:wordWrap/>
        <w:overflowPunct/>
        <w:topLinePunct w:val="0"/>
        <w:autoSpaceDE/>
        <w:autoSpaceDN/>
        <w:bidi w:val="0"/>
        <w:adjustRightInd/>
        <w:snapToGrid/>
        <w:spacing w:before="0" w:beforeLines="0" w:after="0" w:afterLines="0" w:line="720" w:lineRule="exact"/>
        <w:ind w:left="0" w:leftChars="0" w:right="0" w:rightChars="0" w:firstLine="0" w:firstLineChars="0"/>
        <w:jc w:val="center"/>
        <w:textAlignment w:val="auto"/>
        <w:outlineLvl w:val="9"/>
        <w:rPr>
          <w:rFonts w:hint="eastAsia" w:ascii="华文中宋" w:hAnsi="华文中宋" w:eastAsia="华文中宋" w:cs="华文中宋"/>
          <w:sz w:val="44"/>
          <w:szCs w:val="44"/>
        </w:rPr>
      </w:pPr>
      <w:r>
        <w:rPr>
          <w:rFonts w:hint="eastAsia" w:ascii="华文中宋" w:hAnsi="华文中宋" w:eastAsia="华文中宋" w:cs="华文中宋"/>
          <w:sz w:val="44"/>
          <w:szCs w:val="44"/>
        </w:rPr>
        <w:t>“邮储银行杯”2014年中国青年涉农产业</w:t>
      </w:r>
    </w:p>
    <w:p>
      <w:pPr>
        <w:keepNext w:val="0"/>
        <w:keepLines w:val="0"/>
        <w:pageBreakBefore w:val="0"/>
        <w:widowControl w:val="0"/>
        <w:kinsoku/>
        <w:wordWrap/>
        <w:overflowPunct/>
        <w:topLinePunct w:val="0"/>
        <w:autoSpaceDE/>
        <w:autoSpaceDN/>
        <w:bidi w:val="0"/>
        <w:adjustRightInd/>
        <w:snapToGrid/>
        <w:spacing w:before="0" w:beforeLines="0" w:after="0" w:afterLines="0" w:line="720" w:lineRule="exact"/>
        <w:ind w:left="0" w:leftChars="0" w:right="0" w:rightChars="0" w:firstLine="0" w:firstLineChars="0"/>
        <w:jc w:val="center"/>
        <w:textAlignment w:val="auto"/>
        <w:outlineLvl w:val="9"/>
        <w:rPr>
          <w:rFonts w:ascii="Times New Roman" w:hAnsi="Times New Roman" w:eastAsia="方正大标宋_GBK" w:cs="Times New Roman"/>
          <w:sz w:val="40"/>
          <w:szCs w:val="40"/>
        </w:rPr>
      </w:pPr>
      <w:bookmarkStart w:id="0" w:name="_GoBack"/>
      <w:bookmarkEnd w:id="0"/>
      <w:r>
        <w:rPr>
          <w:rFonts w:hint="eastAsia" w:ascii="华文中宋" w:hAnsi="华文中宋" w:eastAsia="华文中宋" w:cs="华文中宋"/>
          <w:sz w:val="44"/>
          <w:szCs w:val="44"/>
        </w:rPr>
        <w:t>创业创富大赛实施方案</w:t>
      </w:r>
    </w:p>
    <w:p>
      <w:pPr>
        <w:spacing w:line="520" w:lineRule="exact"/>
        <w:rPr>
          <w:rFonts w:ascii="Times New Roman" w:hAnsi="Times New Roman" w:eastAsia="方正仿宋_GBK" w:cs="Times New Roman"/>
          <w:sz w:val="30"/>
          <w:szCs w:val="30"/>
        </w:rPr>
      </w:pP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0" w:firstLineChars="0"/>
        <w:textAlignment w:val="auto"/>
        <w:outlineLvl w:val="9"/>
        <w:rPr>
          <w:rFonts w:hint="eastAsia" w:ascii="仿宋_GB2312" w:eastAsia="仿宋_GB2312"/>
          <w:sz w:val="32"/>
          <w:szCs w:val="32"/>
        </w:rPr>
      </w:pPr>
      <w:r>
        <w:rPr>
          <w:rFonts w:ascii="Times New Roman" w:hAnsi="Times New Roman" w:eastAsia="方正仿宋_GBK" w:cs="Times New Roman"/>
          <w:sz w:val="30"/>
          <w:szCs w:val="30"/>
        </w:rPr>
        <w:t>　　</w:t>
      </w:r>
      <w:r>
        <w:rPr>
          <w:rFonts w:hint="eastAsia" w:ascii="仿宋_GB2312" w:eastAsia="仿宋_GB2312"/>
          <w:sz w:val="32"/>
          <w:szCs w:val="32"/>
        </w:rPr>
        <w:t>为树立农村青年创业典型，示范引导更多农村青年创业致富，共青团中央、中国邮政储蓄银行决定联合开展“邮储银行杯”2014年中国青年涉农产业创业创富大赛（以下简称“创业创富大赛”）。现制定具体实施方案如下。</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0" w:firstLineChars="0"/>
        <w:textAlignment w:val="auto"/>
        <w:outlineLvl w:val="9"/>
        <w:rPr>
          <w:rFonts w:ascii="Times New Roman" w:hAnsi="Times New Roman" w:eastAsia="方正黑体_GBK" w:cs="Times New Roman"/>
          <w:sz w:val="30"/>
          <w:szCs w:val="30"/>
        </w:rPr>
      </w:pPr>
      <w:r>
        <w:rPr>
          <w:rFonts w:ascii="Times New Roman" w:hAnsi="Times New Roman" w:eastAsia="方正黑体_GBK" w:cs="Times New Roman"/>
          <w:sz w:val="30"/>
          <w:szCs w:val="30"/>
        </w:rPr>
        <w:t>　　一、大赛目的</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0" w:firstLineChars="0"/>
        <w:textAlignment w:val="auto"/>
        <w:outlineLvl w:val="9"/>
        <w:rPr>
          <w:rFonts w:ascii="Times New Roman" w:hAnsi="Times New Roman" w:eastAsia="方正仿宋_GBK" w:cs="Times New Roman"/>
          <w:sz w:val="30"/>
          <w:szCs w:val="30"/>
        </w:rPr>
      </w:pPr>
      <w:r>
        <w:rPr>
          <w:rFonts w:ascii="Times New Roman" w:hAnsi="Times New Roman" w:eastAsia="方正仿宋_GBK" w:cs="Times New Roman"/>
          <w:sz w:val="30"/>
          <w:szCs w:val="30"/>
        </w:rPr>
        <w:t>　　</w:t>
      </w:r>
      <w:r>
        <w:rPr>
          <w:rFonts w:hint="eastAsia" w:ascii="仿宋_GB2312" w:eastAsia="仿宋_GB2312"/>
          <w:sz w:val="32"/>
          <w:szCs w:val="32"/>
        </w:rPr>
        <w:t>以项目竞赛为途径，通过政策扶持、资金支持、导师辅导、基地孵化等方式，培育一批创业创富项目，培养一批创业创富人才，示范带动更多农村青年成为创业致富“领头雁”，在构建新型农业经营体系、加快发展现代农业中发挥骨干引领作用。</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0" w:firstLineChars="0"/>
        <w:textAlignment w:val="auto"/>
        <w:outlineLvl w:val="9"/>
        <w:rPr>
          <w:rFonts w:ascii="Times New Roman" w:hAnsi="Times New Roman" w:eastAsia="方正仿宋_GBK" w:cs="Times New Roman"/>
          <w:sz w:val="30"/>
          <w:szCs w:val="30"/>
        </w:rPr>
      </w:pPr>
      <w:r>
        <w:rPr>
          <w:rFonts w:ascii="Times New Roman" w:hAnsi="Times New Roman" w:eastAsia="方正仿宋_GBK" w:cs="Times New Roman"/>
          <w:sz w:val="30"/>
          <w:szCs w:val="30"/>
        </w:rPr>
        <w:t>　　</w:t>
      </w:r>
      <w:r>
        <w:rPr>
          <w:rFonts w:ascii="Times New Roman" w:hAnsi="Times New Roman" w:eastAsia="方正黑体_GBK" w:cs="Times New Roman"/>
          <w:sz w:val="30"/>
          <w:szCs w:val="30"/>
        </w:rPr>
        <w:t>二、大赛主题</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0" w:firstLineChars="0"/>
        <w:textAlignment w:val="auto"/>
        <w:outlineLvl w:val="9"/>
        <w:rPr>
          <w:rFonts w:hint="eastAsia" w:ascii="仿宋_GB2312" w:eastAsia="仿宋_GB2312"/>
          <w:sz w:val="32"/>
          <w:szCs w:val="32"/>
        </w:rPr>
      </w:pPr>
      <w:r>
        <w:rPr>
          <w:rFonts w:ascii="Times New Roman" w:hAnsi="Times New Roman" w:eastAsia="方正仿宋_GBK" w:cs="Times New Roman"/>
          <w:sz w:val="30"/>
          <w:szCs w:val="30"/>
        </w:rPr>
        <w:t>　　</w:t>
      </w:r>
      <w:r>
        <w:rPr>
          <w:rFonts w:hint="eastAsia" w:ascii="仿宋_GB2312" w:eastAsia="仿宋_GB2312"/>
          <w:sz w:val="32"/>
          <w:szCs w:val="32"/>
        </w:rPr>
        <w:t>青春创富</w:t>
      </w:r>
      <w:r>
        <w:rPr>
          <w:rFonts w:hint="eastAsia" w:ascii="仿宋_GB2312" w:eastAsia="仿宋_GB2312"/>
          <w:sz w:val="32"/>
          <w:szCs w:val="32"/>
          <w:lang w:val="en-US" w:eastAsia="zh-CN"/>
        </w:rPr>
        <w:t xml:space="preserve"> </w:t>
      </w:r>
      <w:r>
        <w:rPr>
          <w:rFonts w:hint="eastAsia" w:ascii="仿宋_GB2312" w:eastAsia="仿宋_GB2312"/>
          <w:sz w:val="32"/>
          <w:szCs w:val="32"/>
        </w:rPr>
        <w:t>邮储相伴</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0" w:firstLineChars="0"/>
        <w:textAlignment w:val="auto"/>
        <w:outlineLvl w:val="9"/>
        <w:rPr>
          <w:rFonts w:ascii="Times New Roman" w:hAnsi="Times New Roman" w:eastAsia="方正仿宋_GBK" w:cs="Times New Roman"/>
          <w:sz w:val="30"/>
          <w:szCs w:val="30"/>
        </w:rPr>
      </w:pPr>
      <w:r>
        <w:rPr>
          <w:rFonts w:ascii="Times New Roman" w:hAnsi="Times New Roman" w:eastAsia="方正仿宋_GBK" w:cs="Times New Roman"/>
          <w:sz w:val="30"/>
          <w:szCs w:val="30"/>
        </w:rPr>
        <w:t>　　</w:t>
      </w:r>
      <w:r>
        <w:rPr>
          <w:rFonts w:ascii="Times New Roman" w:hAnsi="Times New Roman" w:eastAsia="方正黑体_GBK" w:cs="Times New Roman"/>
          <w:sz w:val="30"/>
          <w:szCs w:val="30"/>
        </w:rPr>
        <w:t>三、组织机构</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0" w:firstLineChars="0"/>
        <w:textAlignment w:val="auto"/>
        <w:outlineLvl w:val="9"/>
        <w:rPr>
          <w:rFonts w:ascii="Times New Roman" w:hAnsi="Times New Roman" w:eastAsia="方正仿宋_GBK" w:cs="Times New Roman"/>
          <w:sz w:val="30"/>
          <w:szCs w:val="30"/>
        </w:rPr>
      </w:pPr>
      <w:r>
        <w:rPr>
          <w:rFonts w:ascii="Times New Roman" w:hAnsi="Times New Roman" w:eastAsia="方正仿宋_GBK" w:cs="Times New Roman"/>
          <w:sz w:val="30"/>
          <w:szCs w:val="30"/>
        </w:rPr>
        <w:t>　　</w:t>
      </w:r>
      <w:r>
        <w:rPr>
          <w:rFonts w:ascii="Times New Roman" w:hAnsi="Times New Roman" w:eastAsia="方正楷体_GBK" w:cs="Times New Roman"/>
          <w:sz w:val="30"/>
          <w:szCs w:val="30"/>
        </w:rPr>
        <w:t>（一）组织单位</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0" w:firstLineChars="0"/>
        <w:textAlignment w:val="auto"/>
        <w:outlineLvl w:val="9"/>
        <w:rPr>
          <w:rFonts w:hint="eastAsia" w:ascii="仿宋_GB2312" w:eastAsia="仿宋_GB2312"/>
          <w:sz w:val="32"/>
          <w:szCs w:val="32"/>
        </w:rPr>
      </w:pPr>
      <w:r>
        <w:rPr>
          <w:rFonts w:ascii="Times New Roman" w:hAnsi="Times New Roman" w:eastAsia="方正仿宋_GBK" w:cs="Times New Roman"/>
          <w:sz w:val="30"/>
          <w:szCs w:val="30"/>
        </w:rPr>
        <w:t>　　</w:t>
      </w:r>
      <w:r>
        <w:rPr>
          <w:rFonts w:hint="eastAsia" w:ascii="仿宋_GB2312" w:eastAsia="仿宋_GB2312"/>
          <w:sz w:val="32"/>
          <w:szCs w:val="32"/>
        </w:rPr>
        <w:t>主办单位：共青团中央、农业部、中国邮政储蓄银行、广东省人民政府</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0" w:firstLineChars="0"/>
        <w:textAlignment w:val="auto"/>
        <w:outlineLvl w:val="9"/>
        <w:rPr>
          <w:rFonts w:hint="eastAsia" w:ascii="仿宋_GB2312" w:eastAsia="仿宋_GB2312"/>
          <w:sz w:val="32"/>
          <w:szCs w:val="32"/>
        </w:rPr>
      </w:pPr>
      <w:r>
        <w:rPr>
          <w:rFonts w:hint="eastAsia" w:ascii="仿宋_GB2312" w:eastAsia="仿宋_GB2312"/>
          <w:sz w:val="32"/>
          <w:szCs w:val="32"/>
        </w:rPr>
        <w:t>　　全国赛承办单位：共青团广东省委、省经济和信息化委员会、省科学技术厅、省人力资源和社会保障厅、省农业厅、省广播电视台、华南农业大学、省农垦总局、中国邮政储蓄银行广东省分行、清远市人民政府</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0" w:firstLineChars="0"/>
        <w:textAlignment w:val="auto"/>
        <w:outlineLvl w:val="9"/>
        <w:rPr>
          <w:rFonts w:ascii="Times New Roman" w:hAnsi="Times New Roman" w:eastAsia="方正仿宋_GBK" w:cs="Times New Roman"/>
          <w:sz w:val="30"/>
          <w:szCs w:val="30"/>
        </w:rPr>
      </w:pPr>
      <w:r>
        <w:rPr>
          <w:rFonts w:ascii="Times New Roman" w:hAnsi="Times New Roman" w:eastAsia="方正仿宋_GBK" w:cs="Times New Roman"/>
          <w:sz w:val="30"/>
          <w:szCs w:val="30"/>
        </w:rPr>
        <w:t>　　</w:t>
      </w:r>
      <w:r>
        <w:rPr>
          <w:rFonts w:ascii="Times New Roman" w:hAnsi="Times New Roman" w:eastAsia="方正楷体_GBK" w:cs="Times New Roman"/>
          <w:sz w:val="30"/>
          <w:szCs w:val="30"/>
        </w:rPr>
        <w:t>（二）组委会</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0" w:firstLineChars="0"/>
        <w:textAlignment w:val="auto"/>
        <w:outlineLvl w:val="9"/>
        <w:rPr>
          <w:rFonts w:hint="eastAsia" w:ascii="仿宋_GB2312" w:eastAsia="仿宋_GB2312"/>
          <w:sz w:val="32"/>
          <w:szCs w:val="32"/>
        </w:rPr>
      </w:pPr>
      <w:r>
        <w:rPr>
          <w:rFonts w:ascii="Times New Roman" w:hAnsi="Times New Roman" w:eastAsia="方正仿宋_GBK" w:cs="Times New Roman"/>
          <w:sz w:val="30"/>
          <w:szCs w:val="30"/>
        </w:rPr>
        <w:t>　　</w:t>
      </w:r>
      <w:r>
        <w:rPr>
          <w:rFonts w:hint="eastAsia" w:ascii="仿宋_GB2312" w:eastAsia="仿宋_GB2312"/>
          <w:sz w:val="32"/>
          <w:szCs w:val="32"/>
        </w:rPr>
        <w:t>大赛设立领导小组，由主办单位的领导同志组成。</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0" w:firstLineChars="0"/>
        <w:textAlignment w:val="auto"/>
        <w:outlineLvl w:val="9"/>
        <w:rPr>
          <w:rFonts w:hint="eastAsia" w:ascii="仿宋_GB2312" w:eastAsia="仿宋_GB2312"/>
          <w:sz w:val="32"/>
          <w:szCs w:val="32"/>
        </w:rPr>
      </w:pPr>
      <w:r>
        <w:rPr>
          <w:rFonts w:hint="eastAsia" w:ascii="仿宋_GB2312" w:eastAsia="仿宋_GB2312"/>
          <w:sz w:val="32"/>
          <w:szCs w:val="32"/>
        </w:rPr>
        <w:t>　　大赛成立组织委员会，负责大赛的组织领导工作。大赛组织委员会下设秘书处和执行处，分设在共青团中央农村青年工作部和共青团广东省委、中国邮政储蓄银行广东省分行，分别负责大赛的组织协调和具体事务执行。</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0" w:firstLineChars="0"/>
        <w:textAlignment w:val="auto"/>
        <w:outlineLvl w:val="9"/>
        <w:rPr>
          <w:rFonts w:ascii="Times New Roman" w:hAnsi="Times New Roman" w:eastAsia="方正仿宋_GBK" w:cs="Times New Roman"/>
          <w:sz w:val="30"/>
          <w:szCs w:val="30"/>
        </w:rPr>
      </w:pPr>
      <w:r>
        <w:rPr>
          <w:rFonts w:ascii="Times New Roman" w:hAnsi="Times New Roman" w:eastAsia="方正仿宋_GBK" w:cs="Times New Roman"/>
          <w:sz w:val="30"/>
          <w:szCs w:val="30"/>
        </w:rPr>
        <w:t>　　</w:t>
      </w:r>
      <w:r>
        <w:rPr>
          <w:rFonts w:ascii="Times New Roman" w:hAnsi="Times New Roman" w:eastAsia="方正楷体_GBK" w:cs="Times New Roman"/>
          <w:sz w:val="30"/>
          <w:szCs w:val="30"/>
        </w:rPr>
        <w:t>（三）专家委员会</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0" w:firstLineChars="0"/>
        <w:textAlignment w:val="auto"/>
        <w:outlineLvl w:val="9"/>
        <w:rPr>
          <w:rFonts w:hint="eastAsia" w:ascii="仿宋_GB2312" w:eastAsia="仿宋_GB2312"/>
          <w:sz w:val="32"/>
          <w:szCs w:val="32"/>
        </w:rPr>
      </w:pPr>
      <w:r>
        <w:rPr>
          <w:rFonts w:ascii="Times New Roman" w:hAnsi="Times New Roman" w:eastAsia="方正仿宋_GBK" w:cs="Times New Roman"/>
          <w:sz w:val="30"/>
          <w:szCs w:val="30"/>
        </w:rPr>
        <w:t>　　</w:t>
      </w:r>
      <w:r>
        <w:rPr>
          <w:rFonts w:hint="eastAsia" w:ascii="仿宋_GB2312" w:eastAsia="仿宋_GB2312"/>
          <w:sz w:val="32"/>
          <w:szCs w:val="32"/>
        </w:rPr>
        <w:t>拟邀请高等院校的涉农领域专家、知名涉农企业家、金融机构及创投行业专业人士、知名媒体人、中国青年创业就业基金会有关负责人等组成，负责大赛项目的评审和指导。</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0" w:firstLineChars="0"/>
        <w:textAlignment w:val="auto"/>
        <w:outlineLvl w:val="9"/>
        <w:rPr>
          <w:rFonts w:ascii="Times New Roman" w:hAnsi="Times New Roman" w:eastAsia="方正黑体_GBK" w:cs="Times New Roman"/>
          <w:sz w:val="30"/>
          <w:szCs w:val="30"/>
        </w:rPr>
      </w:pPr>
      <w:r>
        <w:rPr>
          <w:rFonts w:ascii="Times New Roman" w:hAnsi="Times New Roman" w:eastAsia="方正黑体_GBK" w:cs="Times New Roman"/>
          <w:sz w:val="30"/>
          <w:szCs w:val="30"/>
        </w:rPr>
        <w:t>　　四、赛事组织</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0" w:firstLineChars="0"/>
        <w:textAlignment w:val="auto"/>
        <w:outlineLvl w:val="9"/>
        <w:rPr>
          <w:rFonts w:hint="eastAsia" w:ascii="仿宋_GB2312" w:eastAsia="仿宋_GB2312"/>
          <w:sz w:val="32"/>
          <w:szCs w:val="32"/>
        </w:rPr>
      </w:pPr>
      <w:r>
        <w:rPr>
          <w:rFonts w:ascii="Times New Roman" w:hAnsi="Times New Roman" w:eastAsia="方正仿宋_GBK" w:cs="Times New Roman"/>
          <w:sz w:val="30"/>
          <w:szCs w:val="30"/>
        </w:rPr>
        <w:t>　　</w:t>
      </w:r>
      <w:r>
        <w:rPr>
          <w:rFonts w:hint="eastAsia" w:ascii="仿宋_GB2312" w:eastAsia="仿宋_GB2312"/>
          <w:sz w:val="32"/>
          <w:szCs w:val="32"/>
        </w:rPr>
        <w:t>1. 创业创富大赛分地区赛和全国赛两个阶段进行。全国赛由中国邮政储蓄银行冠名；地区赛可结合“创富先锋——2014年中国邮政储蓄银行创富大赛”开展，也可由团组织根据本地实际独立举办或自行选定合作单位。</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0" w:firstLineChars="0"/>
        <w:textAlignment w:val="auto"/>
        <w:outlineLvl w:val="9"/>
        <w:rPr>
          <w:rFonts w:hint="eastAsia" w:ascii="仿宋_GB2312" w:eastAsia="仿宋_GB2312"/>
          <w:sz w:val="32"/>
          <w:szCs w:val="32"/>
        </w:rPr>
      </w:pPr>
      <w:r>
        <w:rPr>
          <w:rFonts w:hint="eastAsia" w:ascii="仿宋_GB2312" w:eastAsia="仿宋_GB2312"/>
          <w:sz w:val="32"/>
          <w:szCs w:val="32"/>
        </w:rPr>
        <w:t>　　2. 各省（自治区、直辖市）举办的“创富先锋——2014年中国邮政储蓄银行创富大赛”除设置常规奖项外，应独立设置“涉农产业青年创业奖”，每省的前5名获奖者，可直接推荐参加创业创富大赛全国赛。推荐的参赛选手和项目应符合创业创富大赛全国赛的相关要求。</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0" w:firstLineChars="0"/>
        <w:textAlignment w:val="auto"/>
        <w:outlineLvl w:val="9"/>
        <w:rPr>
          <w:rFonts w:ascii="Times New Roman" w:hAnsi="Times New Roman" w:eastAsia="方正仿宋_GBK" w:cs="Times New Roman"/>
          <w:sz w:val="30"/>
          <w:szCs w:val="30"/>
        </w:rPr>
      </w:pPr>
      <w:r>
        <w:rPr>
          <w:rFonts w:ascii="Times New Roman" w:hAnsi="Times New Roman" w:eastAsia="方正仿宋_GBK" w:cs="Times New Roman"/>
          <w:sz w:val="30"/>
          <w:szCs w:val="30"/>
        </w:rPr>
        <w:t>　</w:t>
      </w:r>
      <w:r>
        <w:rPr>
          <w:rFonts w:ascii="Times New Roman" w:hAnsi="Times New Roman" w:eastAsia="方正黑体_GBK" w:cs="Times New Roman"/>
          <w:sz w:val="30"/>
          <w:szCs w:val="30"/>
        </w:rPr>
        <w:t>　五、参赛对象</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0" w:firstLineChars="0"/>
        <w:textAlignment w:val="auto"/>
        <w:outlineLvl w:val="9"/>
        <w:rPr>
          <w:rFonts w:hint="eastAsia" w:ascii="仿宋_GB2312" w:eastAsia="仿宋_GB2312"/>
          <w:sz w:val="32"/>
          <w:szCs w:val="32"/>
        </w:rPr>
      </w:pPr>
      <w:r>
        <w:rPr>
          <w:rFonts w:ascii="Times New Roman" w:hAnsi="Times New Roman" w:eastAsia="方正仿宋_GBK" w:cs="Times New Roman"/>
          <w:sz w:val="30"/>
          <w:szCs w:val="30"/>
        </w:rPr>
        <w:t>　　</w:t>
      </w:r>
      <w:r>
        <w:rPr>
          <w:rFonts w:hint="eastAsia" w:ascii="仿宋_GB2312" w:eastAsia="仿宋_GB2312"/>
          <w:sz w:val="32"/>
          <w:szCs w:val="32"/>
        </w:rPr>
        <w:t>年龄在40周岁以下，具有创业愿望和一定创业能力，致力于从事种养殖、农产品加工、农业社会化服务等涉农行业的青年或创业团队（原则上应不少于3人、不多于8人）。</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0" w:firstLineChars="0"/>
        <w:textAlignment w:val="auto"/>
        <w:outlineLvl w:val="9"/>
        <w:rPr>
          <w:rFonts w:ascii="Times New Roman" w:hAnsi="Times New Roman" w:eastAsia="方正黑体_GBK" w:cs="Times New Roman"/>
          <w:sz w:val="30"/>
          <w:szCs w:val="30"/>
        </w:rPr>
      </w:pPr>
      <w:r>
        <w:rPr>
          <w:rFonts w:ascii="Times New Roman" w:hAnsi="Times New Roman" w:eastAsia="方正黑体_GBK" w:cs="Times New Roman"/>
          <w:sz w:val="30"/>
          <w:szCs w:val="30"/>
        </w:rPr>
        <w:t>　　六、项目要求</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0" w:firstLineChars="0"/>
        <w:textAlignment w:val="auto"/>
        <w:outlineLvl w:val="9"/>
        <w:rPr>
          <w:rFonts w:ascii="Times New Roman" w:hAnsi="Times New Roman" w:eastAsia="方正楷体_GBK" w:cs="Times New Roman"/>
          <w:sz w:val="30"/>
          <w:szCs w:val="30"/>
        </w:rPr>
      </w:pPr>
      <w:r>
        <w:rPr>
          <w:rFonts w:ascii="Times New Roman" w:hAnsi="Times New Roman" w:eastAsia="方正仿宋_GBK" w:cs="Times New Roman"/>
          <w:sz w:val="30"/>
          <w:szCs w:val="30"/>
        </w:rPr>
        <w:t>　</w:t>
      </w:r>
      <w:r>
        <w:rPr>
          <w:rFonts w:ascii="Times New Roman" w:hAnsi="Times New Roman" w:eastAsia="方正楷体_GBK" w:cs="Times New Roman"/>
          <w:sz w:val="30"/>
          <w:szCs w:val="30"/>
        </w:rPr>
        <w:t>　（一）总体要求</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0" w:firstLineChars="0"/>
        <w:textAlignment w:val="auto"/>
        <w:outlineLvl w:val="9"/>
        <w:rPr>
          <w:rFonts w:hint="eastAsia" w:ascii="仿宋_GB2312" w:eastAsia="仿宋_GB2312"/>
          <w:sz w:val="32"/>
          <w:szCs w:val="32"/>
        </w:rPr>
      </w:pPr>
      <w:r>
        <w:rPr>
          <w:rFonts w:ascii="Times New Roman" w:hAnsi="Times New Roman" w:eastAsia="方正仿宋_GBK" w:cs="Times New Roman"/>
          <w:sz w:val="30"/>
          <w:szCs w:val="30"/>
        </w:rPr>
        <w:t>　　</w:t>
      </w:r>
      <w:r>
        <w:rPr>
          <w:rFonts w:hint="eastAsia" w:ascii="仿宋_GB2312" w:eastAsia="仿宋_GB2312"/>
          <w:sz w:val="32"/>
          <w:szCs w:val="32"/>
        </w:rPr>
        <w:t>1.符合国家和地方产业政策及产业导向；</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0" w:firstLineChars="0"/>
        <w:textAlignment w:val="auto"/>
        <w:outlineLvl w:val="9"/>
        <w:rPr>
          <w:rFonts w:hint="eastAsia" w:ascii="仿宋_GB2312" w:eastAsia="仿宋_GB2312"/>
          <w:sz w:val="32"/>
          <w:szCs w:val="32"/>
        </w:rPr>
      </w:pPr>
      <w:r>
        <w:rPr>
          <w:rFonts w:hint="eastAsia" w:ascii="仿宋_GB2312" w:eastAsia="仿宋_GB2312"/>
          <w:sz w:val="32"/>
          <w:szCs w:val="32"/>
        </w:rPr>
        <w:t>　　2.相关创意内容不侵犯任何第三方的知识产权；</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0" w:firstLineChars="0"/>
        <w:textAlignment w:val="auto"/>
        <w:outlineLvl w:val="9"/>
        <w:rPr>
          <w:rFonts w:hint="eastAsia" w:ascii="仿宋_GB2312" w:eastAsia="仿宋_GB2312"/>
          <w:sz w:val="32"/>
          <w:szCs w:val="32"/>
        </w:rPr>
      </w:pPr>
      <w:r>
        <w:rPr>
          <w:rFonts w:hint="eastAsia" w:ascii="仿宋_GB2312" w:eastAsia="仿宋_GB2312"/>
          <w:sz w:val="32"/>
          <w:szCs w:val="32"/>
        </w:rPr>
        <w:t>　　3.已初步创业的企业要求经营规范，社会信誉良好，无不良经营记录；</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0" w:firstLineChars="0"/>
        <w:textAlignment w:val="auto"/>
        <w:outlineLvl w:val="9"/>
        <w:rPr>
          <w:rFonts w:hint="eastAsia" w:ascii="仿宋_GB2312" w:eastAsia="仿宋_GB2312"/>
          <w:sz w:val="32"/>
          <w:szCs w:val="32"/>
        </w:rPr>
      </w:pPr>
      <w:r>
        <w:rPr>
          <w:rFonts w:hint="eastAsia" w:ascii="仿宋_GB2312" w:eastAsia="仿宋_GB2312"/>
          <w:sz w:val="32"/>
          <w:szCs w:val="32"/>
        </w:rPr>
        <w:t>　　4.投资少、见效快、科技含量高、市场竞争力强、便于实施推广、具有明显辐射带动作用的项目同等条件下优先。</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0" w:firstLineChars="0"/>
        <w:textAlignment w:val="auto"/>
        <w:outlineLvl w:val="9"/>
        <w:rPr>
          <w:rFonts w:ascii="Times New Roman" w:hAnsi="Times New Roman" w:eastAsia="方正楷体_GBK" w:cs="Times New Roman"/>
          <w:sz w:val="30"/>
          <w:szCs w:val="30"/>
        </w:rPr>
      </w:pPr>
      <w:r>
        <w:rPr>
          <w:rFonts w:ascii="Times New Roman" w:hAnsi="Times New Roman" w:eastAsia="方正楷体_GBK" w:cs="Times New Roman"/>
          <w:sz w:val="30"/>
          <w:szCs w:val="30"/>
        </w:rPr>
        <w:t>　　（二）具体要求</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0" w:firstLineChars="0"/>
        <w:textAlignment w:val="auto"/>
        <w:outlineLvl w:val="9"/>
        <w:rPr>
          <w:rFonts w:hint="eastAsia" w:ascii="仿宋_GB2312" w:eastAsia="仿宋_GB2312"/>
          <w:sz w:val="32"/>
          <w:szCs w:val="32"/>
        </w:rPr>
      </w:pPr>
      <w:r>
        <w:rPr>
          <w:rFonts w:ascii="Times New Roman" w:hAnsi="Times New Roman" w:eastAsia="方正仿宋_GBK" w:cs="Times New Roman"/>
          <w:sz w:val="30"/>
          <w:szCs w:val="30"/>
        </w:rPr>
        <w:t>　　</w:t>
      </w:r>
      <w:r>
        <w:rPr>
          <w:rFonts w:hint="eastAsia" w:ascii="仿宋_GB2312" w:eastAsia="仿宋_GB2312"/>
          <w:sz w:val="32"/>
          <w:szCs w:val="32"/>
        </w:rPr>
        <w:t>参赛项目须为种养殖、农产品加工、农业社会化服务等涉农行业。在全国决赛阶段，组委会将结合国家有关政策，平衡参赛项目所属领域，确保参赛项目的广泛性和代表性。地区赛阶段，可突出重点，适当兼顾，不需要覆盖所有领域。</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0" w:firstLineChars="0"/>
        <w:textAlignment w:val="auto"/>
        <w:outlineLvl w:val="9"/>
        <w:rPr>
          <w:rFonts w:hint="eastAsia" w:ascii="仿宋_GB2312" w:eastAsia="仿宋_GB2312"/>
          <w:sz w:val="32"/>
          <w:szCs w:val="32"/>
        </w:rPr>
      </w:pPr>
      <w:r>
        <w:rPr>
          <w:rFonts w:hint="eastAsia" w:ascii="仿宋_GB2312" w:eastAsia="仿宋_GB2312"/>
          <w:sz w:val="32"/>
          <w:szCs w:val="32"/>
        </w:rPr>
        <w:t>　　1.种养殖业：粮食、蔬菜、水果、家禽、水产品、苗木等种养殖项目，重点是稻谷、小麦、玉米、大豆、生猪等种养殖项目，特别是优良品种、新技术应用等项目。</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0" w:firstLineChars="0"/>
        <w:textAlignment w:val="auto"/>
        <w:outlineLvl w:val="9"/>
        <w:rPr>
          <w:rFonts w:hint="eastAsia" w:ascii="仿宋_GB2312" w:eastAsia="仿宋_GB2312"/>
          <w:sz w:val="32"/>
          <w:szCs w:val="32"/>
        </w:rPr>
      </w:pPr>
      <w:r>
        <w:rPr>
          <w:rFonts w:hint="eastAsia" w:ascii="仿宋_GB2312" w:eastAsia="仿宋_GB2312"/>
          <w:sz w:val="32"/>
          <w:szCs w:val="32"/>
        </w:rPr>
        <w:t>　　2.农产品加工业：农副食品加工、食品制造、饮料制造、纺织、木材加工等项目，重点是以“三品一标”产品（有机食品、绿色食品、无公害农产品与地理标志性农产品）为生产对象的特色项目。</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0" w:firstLineChars="0"/>
        <w:textAlignment w:val="auto"/>
        <w:outlineLvl w:val="9"/>
        <w:rPr>
          <w:rFonts w:ascii="Times New Roman" w:hAnsi="Times New Roman" w:eastAsia="方正仿宋_GBK" w:cs="Times New Roman"/>
          <w:sz w:val="30"/>
          <w:szCs w:val="30"/>
        </w:rPr>
      </w:pPr>
      <w:r>
        <w:rPr>
          <w:rFonts w:hint="eastAsia" w:ascii="仿宋_GB2312" w:eastAsia="仿宋_GB2312"/>
          <w:sz w:val="32"/>
          <w:szCs w:val="32"/>
        </w:rPr>
        <w:t>　　3.农业社会化服务行业：为农业生产经营提供各种服务，包括农产品流通、农村专业化合作经营、农资服务、动植物疫病防控、农业机械化研发或租赁、农产品品牌建设、农业文化创意设计等涉农相关产业项目，以及农村配套设施建设、农村环境整治、民俗文化传承传播等服务新农村建设的相关项目。重点是采用合作式、订单式、托管式、电子商务平台等现代模式开展的农业社会化服务项目。</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0" w:firstLineChars="0"/>
        <w:textAlignment w:val="auto"/>
        <w:outlineLvl w:val="9"/>
        <w:rPr>
          <w:rFonts w:ascii="Times New Roman" w:hAnsi="Times New Roman" w:eastAsia="方正仿宋_GBK" w:cs="Times New Roman"/>
          <w:sz w:val="30"/>
          <w:szCs w:val="30"/>
        </w:rPr>
      </w:pPr>
      <w:r>
        <w:rPr>
          <w:rFonts w:ascii="Times New Roman" w:hAnsi="Times New Roman" w:eastAsia="方正仿宋_GBK" w:cs="Times New Roman"/>
          <w:sz w:val="30"/>
          <w:szCs w:val="30"/>
        </w:rPr>
        <w:t>　</w:t>
      </w:r>
      <w:r>
        <w:rPr>
          <w:rFonts w:ascii="Times New Roman" w:hAnsi="Times New Roman" w:eastAsia="方正黑体_GBK" w:cs="Times New Roman"/>
          <w:sz w:val="30"/>
          <w:szCs w:val="30"/>
        </w:rPr>
        <w:t>　七、大赛流程</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0" w:firstLineChars="0"/>
        <w:textAlignment w:val="auto"/>
        <w:outlineLvl w:val="9"/>
        <w:rPr>
          <w:rFonts w:ascii="Times New Roman" w:hAnsi="Times New Roman" w:eastAsia="方正楷体_GBK" w:cs="Times New Roman"/>
          <w:sz w:val="30"/>
          <w:szCs w:val="30"/>
        </w:rPr>
      </w:pPr>
      <w:r>
        <w:rPr>
          <w:rFonts w:ascii="Times New Roman" w:hAnsi="Times New Roman" w:eastAsia="方正楷体_GBK" w:cs="Times New Roman"/>
          <w:sz w:val="30"/>
          <w:szCs w:val="30"/>
        </w:rPr>
        <w:t>　　（一）报名（2014年7月至8月）</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0" w:firstLineChars="0"/>
        <w:textAlignment w:val="auto"/>
        <w:outlineLvl w:val="9"/>
        <w:rPr>
          <w:rFonts w:hint="eastAsia" w:ascii="仿宋_GB2312" w:eastAsia="仿宋_GB2312"/>
          <w:sz w:val="32"/>
          <w:szCs w:val="32"/>
        </w:rPr>
      </w:pPr>
      <w:r>
        <w:rPr>
          <w:rFonts w:ascii="Times New Roman" w:hAnsi="Times New Roman" w:eastAsia="方正仿宋_GBK" w:cs="Times New Roman"/>
          <w:sz w:val="30"/>
          <w:szCs w:val="30"/>
        </w:rPr>
        <w:t>　　</w:t>
      </w:r>
      <w:r>
        <w:rPr>
          <w:rFonts w:hint="eastAsia" w:ascii="仿宋_GB2312" w:eastAsia="仿宋_GB2312"/>
          <w:sz w:val="32"/>
          <w:szCs w:val="32"/>
        </w:rPr>
        <w:t>大赛以参赛项目为参赛主体，根据参赛选手事业发展阶段分为创意组和创业组。其中，创业组分为初创组和成长组。</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0" w:firstLineChars="0"/>
        <w:textAlignment w:val="auto"/>
        <w:outlineLvl w:val="9"/>
        <w:rPr>
          <w:rFonts w:hint="eastAsia" w:ascii="仿宋_GB2312" w:eastAsia="仿宋_GB2312"/>
          <w:sz w:val="32"/>
          <w:szCs w:val="32"/>
        </w:rPr>
      </w:pPr>
      <w:r>
        <w:rPr>
          <w:rFonts w:hint="eastAsia" w:ascii="仿宋_GB2312" w:eastAsia="仿宋_GB2312"/>
          <w:sz w:val="32"/>
          <w:szCs w:val="32"/>
        </w:rPr>
        <w:t>　　1.创意组报名者。具有商业运营和推广价值的创意产品；或是处于起步运营阶段的相关创意项目和产品。融资需求在50万元（含）以内。报名需提交完整的商业计划书、规范的市场调研报告，有清晰的发展模式和可靠的数据支持。</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0" w:firstLineChars="0"/>
        <w:textAlignment w:val="auto"/>
        <w:outlineLvl w:val="9"/>
        <w:rPr>
          <w:rFonts w:hint="eastAsia" w:ascii="仿宋_GB2312" w:eastAsia="仿宋_GB2312"/>
          <w:sz w:val="32"/>
          <w:szCs w:val="32"/>
        </w:rPr>
      </w:pPr>
      <w:r>
        <w:rPr>
          <w:rFonts w:hint="eastAsia" w:ascii="仿宋_GB2312" w:eastAsia="仿宋_GB2312"/>
          <w:sz w:val="32"/>
          <w:szCs w:val="32"/>
        </w:rPr>
        <w:t>　　2.创业组报名者。须有介绍项目成长过程或生产流程的相关资料，完整的项目发展构想以及相应的阶段性成果等资料。其中，企业市场发展空间大、能够带动青年创业就业、企业年营业收入超过500万元或融资需求超过300万元的为成长组；创业处于起步阶段、发展相对稳定、具有较强市场竞争能力和高成长性、年营业收入500万元或融资需求在300万元（含）以内的为初创组。</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0" w:firstLineChars="0"/>
        <w:textAlignment w:val="auto"/>
        <w:outlineLvl w:val="9"/>
        <w:rPr>
          <w:rFonts w:hint="eastAsia" w:ascii="仿宋_GB2312" w:eastAsia="仿宋_GB2312"/>
          <w:sz w:val="32"/>
          <w:szCs w:val="32"/>
        </w:rPr>
      </w:pPr>
      <w:r>
        <w:rPr>
          <w:rFonts w:hint="eastAsia" w:ascii="仿宋_GB2312" w:eastAsia="仿宋_GB2312"/>
          <w:sz w:val="32"/>
          <w:szCs w:val="32"/>
        </w:rPr>
        <w:t>　　参赛者由团组织推荐、邮储银行推荐和社会化报名等方式产生。团组织推荐和社会化报名的参赛者采用在线报名方式，需登录首届中国青年创新创业大赛官网注册报名，并在线提交报名所需材料和参赛项目信息。</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0" w:firstLineChars="0"/>
        <w:textAlignment w:val="auto"/>
        <w:outlineLvl w:val="9"/>
        <w:rPr>
          <w:rFonts w:ascii="Times New Roman" w:hAnsi="Times New Roman" w:eastAsia="方正楷体_GBK" w:cs="Times New Roman"/>
          <w:sz w:val="30"/>
          <w:szCs w:val="30"/>
        </w:rPr>
      </w:pPr>
      <w:r>
        <w:rPr>
          <w:rFonts w:ascii="Times New Roman" w:hAnsi="Times New Roman" w:eastAsia="方正楷体_GBK" w:cs="Times New Roman"/>
          <w:sz w:val="30"/>
          <w:szCs w:val="30"/>
        </w:rPr>
        <w:t>　　（二）地区赛（2014年9月至10月）</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0" w:firstLineChars="0"/>
        <w:textAlignment w:val="auto"/>
        <w:outlineLvl w:val="9"/>
        <w:rPr>
          <w:rFonts w:hint="eastAsia" w:ascii="仿宋_GB2312" w:eastAsia="仿宋_GB2312"/>
          <w:sz w:val="32"/>
          <w:szCs w:val="32"/>
        </w:rPr>
      </w:pPr>
      <w:r>
        <w:rPr>
          <w:rFonts w:ascii="Times New Roman" w:hAnsi="Times New Roman" w:eastAsia="方正仿宋_GBK" w:cs="Times New Roman"/>
          <w:sz w:val="30"/>
          <w:szCs w:val="30"/>
        </w:rPr>
        <w:t>　　</w:t>
      </w:r>
      <w:r>
        <w:rPr>
          <w:rFonts w:hint="eastAsia" w:ascii="仿宋_GB2312" w:eastAsia="仿宋_GB2312"/>
          <w:sz w:val="32"/>
          <w:szCs w:val="32"/>
        </w:rPr>
        <w:t>各省（自治区、直辖市）依据组委会秘书处制定的评审规则和流程，结合地方实际，组织地区赛事。具备条件的地市和县级行政区应组织本地区比赛，扩大赛事参与面。全国组委会通过网站、微信等渠道跟踪发布各地区赛有关信息。</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0" w:firstLineChars="0"/>
        <w:textAlignment w:val="auto"/>
        <w:outlineLvl w:val="9"/>
        <w:rPr>
          <w:rFonts w:hint="eastAsia" w:ascii="仿宋_GB2312" w:eastAsia="仿宋_GB2312"/>
          <w:sz w:val="32"/>
          <w:szCs w:val="32"/>
        </w:rPr>
      </w:pPr>
      <w:r>
        <w:rPr>
          <w:rFonts w:hint="eastAsia" w:ascii="仿宋_GB2312" w:eastAsia="仿宋_GB2312"/>
          <w:sz w:val="32"/>
          <w:szCs w:val="32"/>
          <w:lang w:val="en-US" w:eastAsia="zh-CN"/>
        </w:rPr>
        <w:t xml:space="preserve">    </w:t>
      </w:r>
      <w:r>
        <w:rPr>
          <w:rFonts w:hint="eastAsia" w:ascii="仿宋_GB2312" w:eastAsia="仿宋_GB2312"/>
          <w:sz w:val="32"/>
          <w:szCs w:val="32"/>
        </w:rPr>
        <w:t>全国组委会根据各省（自治区、直辖市）报名人数及大赛开展情况，向各省（自治区、直辖市）分配晋级全国赛的项目名额。晋级全国赛的项目总数不超过150个（含“创富先锋—2014年中国邮政储蓄银行创富大赛”推荐的“涉农产业青年创业奖”获得者），创意组、创业初创组、创业成长组每组50个项目。</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0" w:firstLineChars="0"/>
        <w:textAlignment w:val="auto"/>
        <w:outlineLvl w:val="9"/>
        <w:rPr>
          <w:rFonts w:ascii="Times New Roman" w:hAnsi="Times New Roman" w:eastAsia="方正楷体_GBK" w:cs="Times New Roman"/>
          <w:sz w:val="30"/>
          <w:szCs w:val="30"/>
        </w:rPr>
      </w:pPr>
      <w:r>
        <w:rPr>
          <w:rFonts w:ascii="Times New Roman" w:hAnsi="Times New Roman" w:eastAsia="方正楷体_GBK" w:cs="Times New Roman"/>
          <w:sz w:val="30"/>
          <w:szCs w:val="30"/>
        </w:rPr>
        <w:t>　　（三）全国赛（2014年11月至12月）</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0" w:firstLineChars="0"/>
        <w:textAlignment w:val="auto"/>
        <w:outlineLvl w:val="9"/>
        <w:rPr>
          <w:rFonts w:hint="eastAsia" w:ascii="仿宋_GB2312" w:eastAsia="仿宋_GB2312"/>
          <w:sz w:val="32"/>
          <w:szCs w:val="32"/>
        </w:rPr>
      </w:pPr>
      <w:r>
        <w:rPr>
          <w:rFonts w:ascii="Times New Roman" w:hAnsi="Times New Roman" w:eastAsia="方正仿宋_GBK" w:cs="Times New Roman"/>
          <w:sz w:val="30"/>
          <w:szCs w:val="30"/>
        </w:rPr>
        <w:t>　　</w:t>
      </w:r>
      <w:r>
        <w:rPr>
          <w:rFonts w:hint="eastAsia" w:ascii="仿宋_GB2312" w:eastAsia="仿宋_GB2312"/>
          <w:sz w:val="32"/>
          <w:szCs w:val="32"/>
        </w:rPr>
        <w:t>分初评、半决赛、决赛三个阶段进行。</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0" w:firstLineChars="0"/>
        <w:textAlignment w:val="auto"/>
        <w:outlineLvl w:val="9"/>
        <w:rPr>
          <w:rFonts w:hint="eastAsia" w:ascii="仿宋_GB2312" w:eastAsia="仿宋_GB2312"/>
          <w:sz w:val="32"/>
          <w:szCs w:val="32"/>
        </w:rPr>
      </w:pPr>
      <w:r>
        <w:rPr>
          <w:rFonts w:hint="eastAsia" w:ascii="仿宋_GB2312" w:eastAsia="仿宋_GB2312"/>
          <w:sz w:val="32"/>
          <w:szCs w:val="32"/>
        </w:rPr>
        <w:t>　　1.初评（2014年11月中旬）。采用“6+6”模式，由参赛者进行6分钟项目陈述，然后回答评委2个问题（约6分钟）。初评产生60个项目进入半决赛，创意组、创业初创组、创业成长组每组20个。</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0" w:firstLineChars="0"/>
        <w:textAlignment w:val="auto"/>
        <w:outlineLvl w:val="9"/>
        <w:rPr>
          <w:rFonts w:hint="eastAsia" w:ascii="仿宋_GB2312" w:eastAsia="仿宋_GB2312"/>
          <w:sz w:val="32"/>
          <w:szCs w:val="32"/>
        </w:rPr>
      </w:pPr>
      <w:r>
        <w:rPr>
          <w:rFonts w:hint="eastAsia" w:ascii="仿宋_GB2312" w:eastAsia="仿宋_GB2312"/>
          <w:sz w:val="32"/>
          <w:szCs w:val="32"/>
        </w:rPr>
        <w:t>　　2.半决赛（2014年11月下旬）。在项目展示和培训辅导的基础上，通过实战经验考察、现场答辩等方式进行。半决赛产生18个项目进入决赛。创意组、创业初创组、创业成长组每组6名。入围全国赛但未进入决赛的132个项目授予大赛优秀奖。</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0" w:firstLineChars="0"/>
        <w:textAlignment w:val="auto"/>
        <w:outlineLvl w:val="9"/>
        <w:rPr>
          <w:rFonts w:hint="eastAsia" w:ascii="仿宋_GB2312" w:eastAsia="仿宋_GB2312"/>
          <w:sz w:val="32"/>
          <w:szCs w:val="32"/>
        </w:rPr>
      </w:pPr>
      <w:r>
        <w:rPr>
          <w:rFonts w:hint="eastAsia" w:ascii="仿宋_GB2312" w:eastAsia="仿宋_GB2312"/>
          <w:sz w:val="32"/>
          <w:szCs w:val="32"/>
        </w:rPr>
        <w:t>　　3.决赛（2014年12月初）。举行电视决赛，通过VCR展示、项目陈述、评委提问、产品展示或模拟等方式进行。大赛组委会根据参赛项目具体情况，创意组、创业初创组、创业成长组每组分别产生一等奖1名、二等奖2名、三等奖3名。</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0" w:firstLineChars="0"/>
        <w:textAlignment w:val="auto"/>
        <w:outlineLvl w:val="9"/>
        <w:rPr>
          <w:rFonts w:ascii="Times New Roman" w:hAnsi="Times New Roman" w:eastAsia="方正仿宋_GBK" w:cs="Times New Roman"/>
          <w:sz w:val="30"/>
          <w:szCs w:val="30"/>
        </w:rPr>
      </w:pPr>
      <w:r>
        <w:rPr>
          <w:rFonts w:ascii="Times New Roman" w:hAnsi="Times New Roman" w:eastAsia="方正仿宋_GBK" w:cs="Times New Roman"/>
          <w:sz w:val="30"/>
          <w:szCs w:val="30"/>
        </w:rPr>
        <w:t>　　</w:t>
      </w:r>
      <w:r>
        <w:rPr>
          <w:rFonts w:ascii="Times New Roman" w:hAnsi="Times New Roman" w:eastAsia="方正黑体_GBK" w:cs="Times New Roman"/>
          <w:sz w:val="30"/>
          <w:szCs w:val="30"/>
        </w:rPr>
        <w:t>八、奖项奖励</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0" w:firstLineChars="0"/>
        <w:textAlignment w:val="auto"/>
        <w:outlineLvl w:val="9"/>
        <w:rPr>
          <w:rFonts w:hint="eastAsia" w:ascii="仿宋_GB2312" w:eastAsia="仿宋_GB2312"/>
          <w:sz w:val="32"/>
          <w:szCs w:val="32"/>
        </w:rPr>
      </w:pPr>
      <w:r>
        <w:rPr>
          <w:rFonts w:ascii="Times New Roman" w:hAnsi="Times New Roman" w:eastAsia="方正仿宋_GBK" w:cs="Times New Roman"/>
          <w:sz w:val="30"/>
          <w:szCs w:val="30"/>
        </w:rPr>
        <w:t>　</w:t>
      </w:r>
      <w:r>
        <w:rPr>
          <w:rFonts w:ascii="Times New Roman" w:hAnsi="Times New Roman" w:eastAsia="方正楷体_GBK" w:cs="Times New Roman"/>
          <w:sz w:val="30"/>
          <w:szCs w:val="30"/>
        </w:rPr>
        <w:t>　</w:t>
      </w:r>
      <w:r>
        <w:rPr>
          <w:rFonts w:hint="eastAsia" w:ascii="仿宋_GB2312" w:eastAsia="仿宋_GB2312"/>
          <w:sz w:val="32"/>
          <w:szCs w:val="32"/>
        </w:rPr>
        <w:t>1.项目资助。全国决赛创意组，一等奖资助5万元，二等奖资助3万元，三等奖资助2万元；创业初创组，一等奖资助15万元，二等奖资助8万元，三等奖资助5万元；创业成长组，一等奖资助20万元，二等奖资助10万元，三等奖资助5万元。各地根据实际制定各自赛事的资助金额。</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0" w:firstLineChars="0"/>
        <w:textAlignment w:val="auto"/>
        <w:outlineLvl w:val="9"/>
        <w:rPr>
          <w:rFonts w:hint="eastAsia" w:ascii="仿宋_GB2312" w:eastAsia="仿宋_GB2312"/>
          <w:sz w:val="32"/>
          <w:szCs w:val="32"/>
        </w:rPr>
      </w:pPr>
      <w:r>
        <w:rPr>
          <w:rFonts w:hint="eastAsia" w:ascii="仿宋_GB2312" w:eastAsia="仿宋_GB2312"/>
          <w:sz w:val="32"/>
          <w:szCs w:val="32"/>
        </w:rPr>
        <w:t>　　2.创业融资支持。邮储银行为入围全国决赛的参赛者，提供包括小额贷款、个人商务贷款、小企业法人贷款等融资支持；全国组委会向创投机构推荐入围全国决赛的参赛项目。</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0" w:firstLineChars="0"/>
        <w:textAlignment w:val="auto"/>
        <w:outlineLvl w:val="9"/>
        <w:rPr>
          <w:rFonts w:hint="eastAsia" w:ascii="仿宋_GB2312" w:eastAsia="仿宋_GB2312"/>
          <w:sz w:val="32"/>
          <w:szCs w:val="32"/>
        </w:rPr>
      </w:pPr>
      <w:r>
        <w:rPr>
          <w:rFonts w:hint="eastAsia" w:ascii="仿宋_GB2312" w:eastAsia="仿宋_GB2312"/>
          <w:sz w:val="32"/>
          <w:szCs w:val="32"/>
        </w:rPr>
        <w:t>　　3.创业导师辅导。入围全国赛的选手，将纳入全国农村青年创业致富“领头雁”人才库。各地涉农青年协会及邮储银行将组织专家服务团给予一对一的创业辅导，并在其创业过程中，给予全程指导帮助。</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0" w:firstLineChars="0"/>
        <w:textAlignment w:val="auto"/>
        <w:outlineLvl w:val="9"/>
        <w:rPr>
          <w:rFonts w:hint="eastAsia" w:ascii="仿宋_GB2312" w:eastAsia="仿宋_GB2312"/>
          <w:sz w:val="32"/>
          <w:szCs w:val="32"/>
        </w:rPr>
      </w:pPr>
      <w:r>
        <w:rPr>
          <w:rFonts w:hint="eastAsia" w:ascii="仿宋_GB2312" w:eastAsia="仿宋_GB2312"/>
          <w:sz w:val="32"/>
          <w:szCs w:val="32"/>
        </w:rPr>
        <w:t>　　4.创业政策支持。大赛组委会将向相关企业、银行、风投机构推荐入围全国赛的项目，并在其后期的创业过程中，在科技、法律、财务等信息咨询及工商、税务等方面，协调有关部门给予相关支持。对于符合科技部、工信部、人社部、农业部相关要求的项目，给予优先支持。</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0" w:firstLineChars="0"/>
        <w:textAlignment w:val="auto"/>
        <w:outlineLvl w:val="9"/>
        <w:rPr>
          <w:rFonts w:hint="eastAsia" w:ascii="仿宋_GB2312" w:eastAsia="仿宋_GB2312"/>
          <w:sz w:val="32"/>
          <w:szCs w:val="32"/>
        </w:rPr>
      </w:pPr>
      <w:r>
        <w:rPr>
          <w:rFonts w:hint="eastAsia" w:ascii="仿宋_GB2312" w:eastAsia="仿宋_GB2312"/>
          <w:sz w:val="32"/>
          <w:szCs w:val="32"/>
        </w:rPr>
        <w:t>　  5.评选荣誉。优先推荐进入全国半决赛和决赛的成长组选手参与“全国农村青年致富带头人”“中国青年创业奖”等评选活动。</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0" w:firstLineChars="0"/>
        <w:textAlignment w:val="auto"/>
        <w:outlineLvl w:val="9"/>
        <w:rPr>
          <w:rFonts w:hint="eastAsia" w:ascii="仿宋_GB2312" w:eastAsia="仿宋_GB2312"/>
          <w:sz w:val="32"/>
          <w:szCs w:val="32"/>
        </w:rPr>
      </w:pPr>
      <w:r>
        <w:rPr>
          <w:rFonts w:hint="eastAsia" w:ascii="仿宋_GB2312" w:eastAsia="仿宋_GB2312"/>
          <w:sz w:val="32"/>
          <w:szCs w:val="32"/>
        </w:rPr>
        <w:t>　　各地区赛主办单位可自主设立奖项，为优胜者提供奖励或配套政策扶持。所有奖项奖励报大赛组委会备案。</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0" w:firstLineChars="0"/>
        <w:textAlignment w:val="auto"/>
        <w:outlineLvl w:val="9"/>
        <w:rPr>
          <w:rFonts w:ascii="Times New Roman" w:hAnsi="Times New Roman" w:eastAsia="方正仿宋_GBK" w:cs="Times New Roman"/>
          <w:sz w:val="30"/>
          <w:szCs w:val="30"/>
        </w:rPr>
      </w:pPr>
      <w:r>
        <w:rPr>
          <w:rFonts w:ascii="Times New Roman" w:hAnsi="Times New Roman" w:eastAsia="方正仿宋_GBK" w:cs="Times New Roman"/>
          <w:sz w:val="30"/>
          <w:szCs w:val="30"/>
        </w:rPr>
        <w:t>　</w:t>
      </w:r>
      <w:r>
        <w:rPr>
          <w:rFonts w:ascii="Times New Roman" w:hAnsi="Times New Roman" w:eastAsia="方正黑体_GBK" w:cs="Times New Roman"/>
          <w:sz w:val="30"/>
          <w:szCs w:val="30"/>
        </w:rPr>
        <w:t>　九、相关活动</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0" w:firstLineChars="0"/>
        <w:jc w:val="both"/>
        <w:textAlignment w:val="auto"/>
        <w:outlineLvl w:val="9"/>
        <w:rPr>
          <w:rFonts w:hint="eastAsia" w:ascii="仿宋_GB2312" w:eastAsia="仿宋_GB2312"/>
          <w:sz w:val="32"/>
          <w:szCs w:val="32"/>
        </w:rPr>
      </w:pPr>
      <w:r>
        <w:rPr>
          <w:rFonts w:ascii="Times New Roman" w:hAnsi="Times New Roman" w:eastAsia="方正仿宋_GBK" w:cs="Times New Roman"/>
          <w:sz w:val="30"/>
          <w:szCs w:val="30"/>
        </w:rPr>
        <w:t>　</w:t>
      </w:r>
      <w:r>
        <w:rPr>
          <w:rFonts w:ascii="Times New Roman" w:hAnsi="Times New Roman" w:eastAsia="方正楷体_GBK" w:cs="Times New Roman"/>
          <w:sz w:val="30"/>
          <w:szCs w:val="30"/>
        </w:rPr>
        <w:t>　</w:t>
      </w:r>
      <w:r>
        <w:rPr>
          <w:rFonts w:hint="eastAsia" w:ascii="仿宋_GB2312" w:eastAsia="仿宋_GB2312"/>
          <w:sz w:val="32"/>
          <w:szCs w:val="32"/>
        </w:rPr>
        <w:t>1.大赛颁奖活动。举办全国赛电视决赛暨颁奖活动，弘扬创业创富文化。邀请主办、承办、合作机构的领导及专家委员会成员代表出席大赛颁奖活动，为获奖项目颁奖。活动由广东电视台制作，广东电视台、腾讯网直播，中央电视台七套录播。</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0" w:firstLineChars="0"/>
        <w:jc w:val="both"/>
        <w:textAlignment w:val="auto"/>
        <w:outlineLvl w:val="9"/>
        <w:rPr>
          <w:rFonts w:hint="eastAsia" w:ascii="仿宋_GB2312" w:eastAsia="仿宋_GB2312"/>
          <w:sz w:val="32"/>
          <w:szCs w:val="32"/>
        </w:rPr>
      </w:pPr>
      <w:r>
        <w:rPr>
          <w:rFonts w:hint="eastAsia" w:ascii="仿宋_GB2312" w:eastAsia="仿宋_GB2312"/>
          <w:sz w:val="32"/>
          <w:szCs w:val="32"/>
        </w:rPr>
        <w:t>　　2.投资融资服务。建立以创投机构、创新企业为主的“投融资服务联盟”，结合大赛各阶段进程，为大赛参赛项目提供培训、辅导、咨询、渠道对接等投融资服务。</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0" w:firstLineChars="0"/>
        <w:jc w:val="both"/>
        <w:textAlignment w:val="auto"/>
        <w:outlineLvl w:val="9"/>
        <w:rPr>
          <w:rFonts w:hint="eastAsia" w:ascii="仿宋_GB2312" w:eastAsia="仿宋_GB2312"/>
          <w:sz w:val="32"/>
          <w:szCs w:val="32"/>
        </w:rPr>
      </w:pPr>
      <w:r>
        <w:rPr>
          <w:rFonts w:hint="eastAsia" w:ascii="仿宋_GB2312" w:eastAsia="仿宋_GB2312"/>
          <w:sz w:val="32"/>
          <w:szCs w:val="32"/>
        </w:rPr>
        <w:t>　　3.参赛项目展示。与中国国际中小企业博览会、广东农博会等专业展览会合作，设立“2014年中国青年涉农产业创业创富大赛”参赛项目产品展销专区，对进入全国半决赛的60个项目和产品进行集中展销和推介。期间，将举行“倾听心声共促发展”活动，邀请国内外知名涉农专家学者、企业家与涉农创业青年对话，共同探讨涉农创业之路。</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0" w:firstLineChars="0"/>
        <w:jc w:val="both"/>
        <w:textAlignment w:val="auto"/>
        <w:outlineLvl w:val="9"/>
        <w:rPr>
          <w:rFonts w:hint="eastAsia" w:ascii="仿宋_GB2312" w:eastAsia="仿宋_GB2312"/>
          <w:sz w:val="32"/>
          <w:szCs w:val="32"/>
        </w:rPr>
      </w:pPr>
      <w:r>
        <w:rPr>
          <w:rFonts w:hint="eastAsia" w:ascii="仿宋_GB2312" w:eastAsia="仿宋_GB2312"/>
          <w:sz w:val="32"/>
          <w:szCs w:val="32"/>
        </w:rPr>
        <w:t>　　4.创业精英训练营。组织进入全国半决赛的60个项目选手参加涉农创业精英训练营，进行集中学习培训、参观考察、拓展训练，重点提高创业精英的综合素质，搭建涉农创业青年交流提升平台。</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0" w:firstLineChars="0"/>
        <w:jc w:val="both"/>
        <w:textAlignment w:val="auto"/>
        <w:outlineLvl w:val="9"/>
        <w:rPr>
          <w:rFonts w:hint="eastAsia" w:ascii="仿宋_GB2312" w:eastAsia="仿宋_GB2312"/>
          <w:sz w:val="32"/>
          <w:szCs w:val="32"/>
        </w:rPr>
      </w:pPr>
      <w:r>
        <w:rPr>
          <w:rFonts w:hint="eastAsia" w:ascii="仿宋_GB2312" w:eastAsia="仿宋_GB2312"/>
          <w:sz w:val="32"/>
          <w:szCs w:val="32"/>
        </w:rPr>
        <w:t>　　5.立体宣传营销。结合大赛各个阶段进程，与网络、电视、报纸、杂志、户外媒介等有关媒体合作，对大赛本身和参赛项目进行有效宣传展示。对入围省级比赛的项目进行网上推介，推动比赛项目与社会资源实现对接。</w:t>
      </w:r>
    </w:p>
    <w:p>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panose1 w:val="02010600030101010101"/>
    <w:charset w:val="86"/>
    <w:family w:val="script"/>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Shruti"/>
    <w:panose1 w:val="02040503050406030204"/>
    <w:charset w:val="00"/>
    <w:family w:val="modern"/>
    <w:pitch w:val="default"/>
    <w:sig w:usb0="00000000" w:usb1="00000000" w:usb2="00000000" w:usb3="00000000" w:csb0="0000019F" w:csb1="00000000"/>
  </w:font>
  <w:font w:name="Calibri">
    <w:altName w:val="微软雅黑"/>
    <w:panose1 w:val="020F0502020204030204"/>
    <w:charset w:val="00"/>
    <w:family w:val="decorative"/>
    <w:pitch w:val="default"/>
    <w:sig w:usb0="00000000" w:usb1="00000000" w:usb2="00000001" w:usb3="00000000" w:csb0="0000019F" w:csb1="00000000"/>
  </w:font>
  <w:font w:name="Shruti">
    <w:panose1 w:val="02000500000000000000"/>
    <w:charset w:val="00"/>
    <w:family w:val="auto"/>
    <w:pitch w:val="default"/>
    <w:sig w:usb0="0004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微软雅黑">
    <w:panose1 w:val="020B0503020204020204"/>
    <w:charset w:val="86"/>
    <w:family w:val="decorative"/>
    <w:pitch w:val="default"/>
    <w:sig w:usb0="80000287" w:usb1="280F3C52" w:usb2="00000016" w:usb3="00000000" w:csb0="0004001F" w:csb1="00000000"/>
  </w:font>
  <w:font w:name="Arial">
    <w:panose1 w:val="020B0604020202020204"/>
    <w:charset w:val="01"/>
    <w:family w:val="decorative"/>
    <w:pitch w:val="default"/>
    <w:sig w:usb0="00007A87" w:usb1="80000000" w:usb2="00000008" w:usb3="00000000" w:csb0="400001FF" w:csb1="FFFF0000"/>
  </w:font>
  <w:font w:name="Courier New">
    <w:panose1 w:val="02070309020205020404"/>
    <w:charset w:val="01"/>
    <w:family w:val="swiss"/>
    <w:pitch w:val="default"/>
    <w:sig w:usb0="00007A87" w:usb1="80000000" w:usb2="00000008" w:usb3="00000000" w:csb0="400001FF" w:csb1="FFFF0000"/>
  </w:font>
  <w:font w:name="Symbol">
    <w:panose1 w:val="05050102010706020507"/>
    <w:charset w:val="02"/>
    <w:family w:val="modern"/>
    <w:pitch w:val="default"/>
    <w:sig w:usb0="00000000" w:usb1="00000000" w:usb2="00000000" w:usb3="00000000" w:csb0="80000000" w:csb1="00000000"/>
  </w:font>
  <w:font w:name="Cambria">
    <w:altName w:val="Shruti"/>
    <w:panose1 w:val="02040503050406030204"/>
    <w:charset w:val="00"/>
    <w:family w:val="swiss"/>
    <w:pitch w:val="default"/>
    <w:sig w:usb0="00000000" w:usb1="00000000" w:usb2="00000000" w:usb3="00000000" w:csb0="0000019F" w:csb1="00000000"/>
  </w:font>
  <w:font w:name="Calibri">
    <w:altName w:val="微软雅黑"/>
    <w:panose1 w:val="020F0502020204030204"/>
    <w:charset w:val="00"/>
    <w:family w:val="roman"/>
    <w:pitch w:val="default"/>
    <w:sig w:usb0="00000000" w:usb1="00000000" w:usb2="00000001" w:usb3="00000000" w:csb0="0000019F" w:csb1="00000000"/>
  </w:font>
  <w:font w:name="华文中宋">
    <w:panose1 w:val="02010600040101010101"/>
    <w:charset w:val="86"/>
    <w:family w:val="auto"/>
    <w:pitch w:val="default"/>
    <w:sig w:usb0="00000287" w:usb1="080F0000" w:usb2="00000000" w:usb3="00000000" w:csb0="0004009F" w:csb1="DFD7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大标宋_GBK">
    <w:altName w:val="宋体"/>
    <w:panose1 w:val="03000509000000000000"/>
    <w:charset w:val="86"/>
    <w:family w:val="script"/>
    <w:pitch w:val="default"/>
    <w:sig w:usb0="00000000" w:usb1="00000000" w:usb2="00000010" w:usb3="00000000" w:csb0="00040000" w:csb1="00000000"/>
  </w:font>
  <w:font w:name="仿宋">
    <w:altName w:val="仿宋_GB2312"/>
    <w:panose1 w:val="02010609060101010101"/>
    <w:charset w:val="86"/>
    <w:family w:val="swiss"/>
    <w:pitch w:val="default"/>
    <w:sig w:usb0="00000000" w:usb1="00000000" w:usb2="00000016" w:usb3="00000000" w:csb0="00040001"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微软雅黑">
    <w:panose1 w:val="020B0503020204020204"/>
    <w:charset w:val="86"/>
    <w:family w:val="roman"/>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0C953E1"/>
    <w:rsid w:val="20C953E1"/>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kern w:val="2"/>
      <w:sz w:val="21"/>
      <w:szCs w:val="22"/>
      <w:lang w:val="en-US" w:eastAsia="zh-CN"/>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Office_10.1.0.5345_F1E327BC-269C-435d-A152-05C5408002CA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2004-01-01T01:29:00Z</dcterms:created>
  <dc:creator>陈丹纯</dc:creator>
  <cp:lastModifiedBy>陈丹纯</cp:lastModifiedBy>
  <dcterms:modified xsi:type="dcterms:W3CDTF">2004-01-01T01:29:36Z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2052-10.1.0.5345</vt:lpwstr>
  </property>
</Properties>
</file>