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  <w:t>广东“百千万工程”青年兴乡培育计划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  <w:t>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为进一步深入实施广东省“百县千镇万村高质量发展工程”，培育一批爱农民、懂乡村、会经营的兴乡青年人才，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团省委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发起广东“百千万工程”青年兴乡培育计划，为乡村播撒兴乡人才的火种，助力广东百县千镇万村高质量发展。广东“百千万工程”青年兴乡培育计划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包含三项内容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华文楷体" w:cs="华文楷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华文楷体" w:cs="华文楷体"/>
          <w:kern w:val="2"/>
          <w:sz w:val="32"/>
          <w:szCs w:val="32"/>
          <w:u w:val="none"/>
          <w:lang w:val="en-US" w:eastAsia="zh-CN" w:bidi="ar-SA"/>
        </w:rPr>
        <w:t>（一）广东“百千万工程”兴乡青年培训</w:t>
      </w:r>
    </w:p>
    <w:p>
      <w:pPr>
        <w:pStyle w:val="5"/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从全省各地选拔一批懂农业、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爱农村、爱农民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的青年，结合线下专题培训、线上课程学习、省内外实地村庄实践，培养一批</w:t>
      </w:r>
      <w:r>
        <w:rPr>
          <w:rFonts w:ascii="Times New Roman" w:hAnsi="Times New Roman" w:eastAsia="方正仿宋_GBK"/>
          <w:sz w:val="32"/>
          <w:szCs w:val="32"/>
          <w:lang w:bidi="ar"/>
        </w:rPr>
        <w:t>能够盘活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镇村</w:t>
      </w:r>
      <w:r>
        <w:rPr>
          <w:rFonts w:ascii="Times New Roman" w:hAnsi="Times New Roman" w:eastAsia="方正仿宋_GBK"/>
          <w:sz w:val="32"/>
          <w:szCs w:val="32"/>
          <w:lang w:bidi="ar"/>
        </w:rPr>
        <w:t>闲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置资源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、引进新业态、示范带动青年返乡创业的兴乡青年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开展2期省级示范班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费用共计4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5万元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华文楷体" w:cs="华文楷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华文楷体" w:cs="华文楷体"/>
          <w:kern w:val="2"/>
          <w:sz w:val="32"/>
          <w:szCs w:val="32"/>
          <w:u w:val="none"/>
          <w:lang w:val="en-US" w:eastAsia="zh-CN" w:bidi="ar-SA"/>
        </w:rPr>
        <w:t>（二）“乡村振兴 青年先行”典型宣传活动</w:t>
      </w:r>
    </w:p>
    <w:p>
      <w:pPr>
        <w:pStyle w:val="5"/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-SA"/>
        </w:rPr>
        <w:t>围绕兴乡青年和各地推荐的优秀返乡创业青年开展寻访活动，采编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名故事性较强的典型，宣传展示青年参与乡村治理、乡村运营实践案例，在广东共青团新媒体、南方+专栏等平台通过推文、短视频等形式宣传，共推出不少于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期，每期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共计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万元。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华文楷体" w:cs="华文楷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华文楷体" w:cs="华文楷体"/>
          <w:kern w:val="2"/>
          <w:sz w:val="32"/>
          <w:szCs w:val="32"/>
          <w:u w:val="none"/>
          <w:lang w:val="en-US" w:eastAsia="zh-CN" w:bidi="ar-SA"/>
        </w:rPr>
        <w:t>（三）广东“百千万工程”兴乡青年线上学堂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-SA"/>
        </w:rPr>
        <w:t>依托广东“百千万工程”青年兴乡线上学堂，邀请广东“百千万工程”专家智库、省内外返乡创业优秀青年、专家教授等，围绕乡村美化、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乡村产业经营、电商营销、农文旅融合等主题制作一批线上兴乡课程，邀请专家录制1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期课程，每期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万元，共1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项目预算总金额合计90万元。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D7A937-7CD2-495D-A735-ADED5907BE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BFF2F6F-50C8-4F0C-B7E8-A41D572F6DED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5C97677-A7A1-4074-9597-F8986DC3B7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192B46-F582-40B8-9BAF-99650CDE41C8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3FDAC20-2362-49DC-9343-F6AAA34760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Dc2NzRiNTAxNjRhODA1MTMyNjYyNGNkYTE2YzUifQ=="/>
  </w:docVars>
  <w:rsids>
    <w:rsidRoot w:val="7E6908D9"/>
    <w:rsid w:val="7E6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Indent"/>
    <w:basedOn w:val="1"/>
    <w:next w:val="4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4">
    <w:name w:val="toc 4"/>
    <w:basedOn w:val="1"/>
    <w:next w:val="1"/>
    <w:qFormat/>
    <w:uiPriority w:val="0"/>
    <w:pPr>
      <w:ind w:left="1260" w:leftChars="60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文本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仿宋" w:hAnsi="仿宋" w:eastAsia="仿宋" w:cs="仿宋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2024-10-15T08:08:00Z</dcterms:created>
  <dc:creator>陈柱飞</dc:creator>
  <cp:lastModifiedBy>陈柱飞</cp:lastModifiedBy>
  <dcterms:modified xsi:type="dcterms:W3CDTF">2024-10-15T08:09:56Z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659809C0A9854374AF4297B137E81064_11</vt:lpwstr>
  </property>
</Properties>
</file>